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ED" w:rsidRPr="00341CED" w:rsidRDefault="00341CED" w:rsidP="00341CED">
      <w:pPr>
        <w:spacing w:after="0" w:line="240" w:lineRule="auto"/>
        <w:jc w:val="center"/>
        <w:rPr>
          <w:rFonts w:eastAsia="Times New Roman" w:cs="Times New Roman"/>
          <w:b/>
          <w:bCs/>
          <w:sz w:val="28"/>
          <w:lang w:eastAsia="es-ES"/>
        </w:rPr>
      </w:pPr>
    </w:p>
    <w:p w:rsidR="00341CED" w:rsidRPr="00341CED" w:rsidRDefault="00341CED" w:rsidP="00341CED">
      <w:pPr>
        <w:spacing w:after="0" w:line="240" w:lineRule="auto"/>
        <w:jc w:val="center"/>
        <w:rPr>
          <w:rFonts w:eastAsia="Times New Roman" w:cs="Times New Roman"/>
          <w:b/>
          <w:bCs/>
          <w:sz w:val="28"/>
          <w:lang w:eastAsia="es-ES"/>
        </w:rPr>
      </w:pPr>
    </w:p>
    <w:p w:rsidR="00341CED" w:rsidRPr="00341CED" w:rsidRDefault="00341CED" w:rsidP="00341CED">
      <w:pPr>
        <w:spacing w:after="0" w:line="240" w:lineRule="auto"/>
        <w:jc w:val="center"/>
        <w:rPr>
          <w:rFonts w:eastAsia="Times New Roman" w:cs="Times New Roman"/>
          <w:szCs w:val="24"/>
          <w:lang w:eastAsia="es-CO"/>
        </w:rPr>
      </w:pPr>
      <w:r w:rsidRPr="00341CED">
        <w:rPr>
          <w:rFonts w:eastAsia="Times New Roman" w:cs="Times New Roman"/>
          <w:b/>
          <w:bCs/>
          <w:sz w:val="28"/>
          <w:lang w:eastAsia="es-ES"/>
        </w:rPr>
        <w:t>OFICIO N° 011304</w:t>
      </w:r>
    </w:p>
    <w:p w:rsidR="00341CED" w:rsidRPr="00341CED" w:rsidRDefault="00341CED" w:rsidP="00341CED">
      <w:pPr>
        <w:spacing w:after="0" w:line="240" w:lineRule="auto"/>
        <w:jc w:val="center"/>
        <w:rPr>
          <w:rFonts w:eastAsia="Times New Roman" w:cs="Times New Roman"/>
          <w:szCs w:val="24"/>
          <w:lang w:eastAsia="es-CO"/>
        </w:rPr>
      </w:pPr>
      <w:r w:rsidRPr="00341CED">
        <w:rPr>
          <w:rFonts w:eastAsia="Times New Roman" w:cs="Times New Roman"/>
          <w:b/>
          <w:bCs/>
          <w:sz w:val="28"/>
          <w:lang w:eastAsia="es-ES"/>
        </w:rPr>
        <w:t>12-02-2014</w:t>
      </w:r>
    </w:p>
    <w:p w:rsidR="00341CED" w:rsidRPr="00341CED" w:rsidRDefault="00341CED" w:rsidP="00341CED">
      <w:pPr>
        <w:spacing w:after="0" w:line="240" w:lineRule="auto"/>
        <w:jc w:val="center"/>
        <w:rPr>
          <w:rFonts w:eastAsia="Times New Roman" w:cs="Times New Roman"/>
          <w:szCs w:val="24"/>
          <w:lang w:eastAsia="es-CO"/>
        </w:rPr>
      </w:pPr>
      <w:r w:rsidRPr="00341CED">
        <w:rPr>
          <w:rFonts w:eastAsia="Times New Roman" w:cs="Times New Roman"/>
          <w:b/>
          <w:bCs/>
          <w:sz w:val="28"/>
          <w:lang w:eastAsia="es-ES"/>
        </w:rPr>
        <w:t>DIAN</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b/>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b/>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Subdirección de Gestión Normativa y Doctrina</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Bogotá, D.C.</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100208221- 000085</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Señor</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b/>
          <w:szCs w:val="24"/>
          <w:lang w:eastAsia="es-ES"/>
        </w:rPr>
        <w:t>ANTONIO OROZCO ROJAS</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xml:space="preserve">Calle 118 No. 20- 51 </w:t>
      </w:r>
      <w:proofErr w:type="spellStart"/>
      <w:r w:rsidRPr="00341CED">
        <w:rPr>
          <w:rFonts w:eastAsia="Times New Roman" w:cs="Times New Roman"/>
          <w:szCs w:val="24"/>
          <w:lang w:eastAsia="es-ES"/>
        </w:rPr>
        <w:t>Ap</w:t>
      </w:r>
      <w:proofErr w:type="spellEnd"/>
      <w:r w:rsidRPr="00341CED">
        <w:rPr>
          <w:rFonts w:eastAsia="Times New Roman" w:cs="Times New Roman"/>
          <w:szCs w:val="24"/>
          <w:lang w:eastAsia="es-ES"/>
        </w:rPr>
        <w:t xml:space="preserve"> 301</w:t>
      </w:r>
    </w:p>
    <w:p w:rsidR="00341CED" w:rsidRPr="00341CED" w:rsidRDefault="00341CED" w:rsidP="00341CED">
      <w:pPr>
        <w:spacing w:after="0" w:line="240" w:lineRule="auto"/>
        <w:jc w:val="both"/>
        <w:rPr>
          <w:rFonts w:eastAsia="Times New Roman" w:cs="Times New Roman"/>
          <w:szCs w:val="24"/>
          <w:lang w:eastAsia="es-CO"/>
        </w:rPr>
      </w:pPr>
      <w:proofErr w:type="spellStart"/>
      <w:r w:rsidRPr="00341CED">
        <w:rPr>
          <w:rFonts w:eastAsia="Times New Roman" w:cs="Times New Roman"/>
          <w:szCs w:val="24"/>
          <w:lang w:eastAsia="es-ES"/>
        </w:rPr>
        <w:t>antoniooro@gmail.com</w:t>
      </w:r>
      <w:bookmarkStart w:id="0" w:name="_GoBack"/>
      <w:bookmarkEnd w:id="0"/>
      <w:proofErr w:type="spellEnd"/>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Bogotá</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proofErr w:type="spellStart"/>
      <w:r w:rsidRPr="00341CED">
        <w:rPr>
          <w:rFonts w:eastAsia="Times New Roman" w:cs="Times New Roman"/>
          <w:b/>
          <w:szCs w:val="24"/>
          <w:lang w:eastAsia="es-ES"/>
        </w:rPr>
        <w:t>Ref</w:t>
      </w:r>
      <w:proofErr w:type="spellEnd"/>
      <w:r w:rsidRPr="00341CED">
        <w:rPr>
          <w:rFonts w:eastAsia="Times New Roman" w:cs="Times New Roman"/>
          <w:b/>
          <w:szCs w:val="24"/>
          <w:lang w:eastAsia="es-ES"/>
        </w:rPr>
        <w:t>:</w:t>
      </w:r>
      <w:r w:rsidRPr="00341CED">
        <w:rPr>
          <w:rFonts w:eastAsia="Times New Roman" w:cs="Times New Roman"/>
          <w:szCs w:val="24"/>
          <w:lang w:eastAsia="es-ES"/>
        </w:rPr>
        <w:t xml:space="preserve"> Radicado 100007328 del 12/08/2013</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b/>
          <w:bCs/>
          <w:szCs w:val="24"/>
          <w:lang w:eastAsia="es-ES"/>
        </w:rPr>
        <w:t>Tema</w:t>
      </w:r>
      <w:r w:rsidRPr="00341CED">
        <w:rPr>
          <w:rFonts w:eastAsia="Times New Roman" w:cs="Times New Roman"/>
          <w:szCs w:val="24"/>
          <w:lang w:eastAsia="es-ES"/>
        </w:rPr>
        <w:t xml:space="preserve"> Impuesto sobre la</w:t>
      </w:r>
      <w:r w:rsidRPr="00341CED">
        <w:rPr>
          <w:rFonts w:eastAsia="Times New Roman" w:cs="Times New Roman"/>
          <w:b/>
          <w:bCs/>
          <w:szCs w:val="24"/>
          <w:lang w:eastAsia="es-ES"/>
        </w:rPr>
        <w:t xml:space="preserve"> </w:t>
      </w:r>
      <w:r w:rsidRPr="00341CED">
        <w:rPr>
          <w:rFonts w:eastAsia="Times New Roman" w:cs="Times New Roman"/>
          <w:szCs w:val="24"/>
          <w:lang w:eastAsia="es-ES"/>
        </w:rPr>
        <w:t>Renta y Complementarios</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b/>
          <w:bCs/>
          <w:szCs w:val="24"/>
          <w:lang w:eastAsia="es-ES"/>
        </w:rPr>
        <w:t>Descriptores</w:t>
      </w:r>
      <w:r w:rsidRPr="00341CED">
        <w:rPr>
          <w:rFonts w:eastAsia="Times New Roman" w:cs="Times New Roman"/>
          <w:szCs w:val="24"/>
          <w:lang w:eastAsia="es-ES"/>
        </w:rPr>
        <w:t xml:space="preserve"> Aportes a Sociedades Nacionales – Enajenación</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b/>
          <w:bCs/>
          <w:szCs w:val="24"/>
          <w:lang w:eastAsia="es-ES"/>
        </w:rPr>
        <w:t>Fuentes formales</w:t>
      </w:r>
      <w:r w:rsidRPr="00341CED">
        <w:rPr>
          <w:rFonts w:eastAsia="Times New Roman" w:cs="Times New Roman"/>
          <w:szCs w:val="24"/>
          <w:lang w:eastAsia="es-ES"/>
        </w:rPr>
        <w:t xml:space="preserve"> Estatuto Tributario artículo 319; Ley 1607 de 2012 artículo 98; Código de Comercio artículos 100, 124, 126, 132; Ley 1258 de 2008 artículo 5; Concepto 056135 del 5 de septiembre de 2013</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Cordial saludo señor Rojas:</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De acuerdo con lo establecido por el artículo 20 del Decreto 4048 de 2008 y la Orden Administrativa 000006 de 2009, es función de este despacho absolver las consultas escritas que se formulen sobre la interpretación y aplicación en materia de impuestos nacionales, aduanera, comercio exterior y de control cambiaria en lo de competencia de la Dirección de Impuestos y Aduanas Nacionales.</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En su petición pregunta:</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¿Cuáles son las características que debe cumplir el documento que contiene el acto jurídico que deja constancia del aporte recibido de conformidad con lo previsto en los numerales 1 y 2 del artículo 319 del E.T.?</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Para resolver este interrogante, realizamos las siguientes precisiones:</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El artículo 98 de la Ley 1607 de 2012 adicionó los artículos 319, 319-1 y 319-2 al Estatuto Tributario, por medio de los cuales se establece el tratamiento tributario aplicable a los aportes en especie a sociedades.</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De manera particular, el tratamiento tributario de los aportes en especie a sociedades nacionales se encuentra regulado en el artículo 319 del Estatuto Tributario que señala:</w:t>
      </w:r>
    </w:p>
    <w:p w:rsidR="00341CED" w:rsidRPr="00341CED" w:rsidRDefault="00341CED" w:rsidP="00341CED">
      <w:pPr>
        <w:spacing w:after="0" w:line="240" w:lineRule="auto"/>
        <w:ind w:left="524"/>
        <w:jc w:val="both"/>
        <w:rPr>
          <w:rFonts w:eastAsia="Times New Roman" w:cs="Times New Roman"/>
          <w:szCs w:val="24"/>
          <w:lang w:eastAsia="es-CO"/>
        </w:rPr>
      </w:pPr>
      <w:r w:rsidRPr="00341CED">
        <w:rPr>
          <w:rFonts w:eastAsia="Times New Roman" w:cs="Times New Roman"/>
          <w:i/>
          <w:iCs/>
          <w:szCs w:val="24"/>
          <w:lang w:eastAsia="es-ES"/>
        </w:rPr>
        <w:t> </w:t>
      </w:r>
    </w:p>
    <w:p w:rsidR="00341CED" w:rsidRPr="00341CED" w:rsidRDefault="00341CED" w:rsidP="00341CED">
      <w:pPr>
        <w:spacing w:after="0" w:line="240" w:lineRule="auto"/>
        <w:ind w:left="524"/>
        <w:jc w:val="both"/>
        <w:rPr>
          <w:rFonts w:eastAsia="Times New Roman" w:cs="Times New Roman"/>
          <w:szCs w:val="24"/>
          <w:lang w:eastAsia="es-CO"/>
        </w:rPr>
      </w:pPr>
      <w:r w:rsidRPr="00341CED">
        <w:rPr>
          <w:rFonts w:eastAsia="Times New Roman" w:cs="Times New Roman"/>
          <w:i/>
          <w:iCs/>
          <w:szCs w:val="24"/>
          <w:lang w:eastAsia="es-ES"/>
        </w:rPr>
        <w:t>"Artículo 319. Aportes</w:t>
      </w:r>
      <w:r w:rsidRPr="00341CED">
        <w:rPr>
          <w:rFonts w:eastAsia="Times New Roman" w:cs="Times New Roman"/>
          <w:i/>
          <w:szCs w:val="24"/>
          <w:lang w:eastAsia="es-ES"/>
        </w:rPr>
        <w:t xml:space="preserve"> a </w:t>
      </w:r>
      <w:r w:rsidRPr="00341CED">
        <w:rPr>
          <w:rFonts w:eastAsia="Times New Roman" w:cs="Times New Roman"/>
          <w:i/>
          <w:iCs/>
          <w:szCs w:val="24"/>
          <w:lang w:eastAsia="es-ES"/>
        </w:rPr>
        <w:t xml:space="preserve">sociedades nacionales. El aporte en dinero </w:t>
      </w:r>
      <w:r w:rsidRPr="00341CED">
        <w:rPr>
          <w:rFonts w:eastAsia="Times New Roman" w:cs="Times New Roman"/>
          <w:i/>
          <w:szCs w:val="24"/>
          <w:lang w:eastAsia="es-ES"/>
        </w:rPr>
        <w:t xml:space="preserve">o </w:t>
      </w:r>
      <w:r w:rsidRPr="00341CED">
        <w:rPr>
          <w:rFonts w:eastAsia="Times New Roman" w:cs="Times New Roman"/>
          <w:i/>
          <w:iCs/>
          <w:szCs w:val="24"/>
          <w:lang w:eastAsia="es-ES"/>
        </w:rPr>
        <w:t xml:space="preserve">en especie </w:t>
      </w:r>
      <w:r w:rsidRPr="00341CED">
        <w:rPr>
          <w:rFonts w:eastAsia="Times New Roman" w:cs="Times New Roman"/>
          <w:i/>
          <w:szCs w:val="24"/>
          <w:lang w:eastAsia="es-ES"/>
        </w:rPr>
        <w:t xml:space="preserve">a </w:t>
      </w:r>
      <w:r w:rsidRPr="00341CED">
        <w:rPr>
          <w:rFonts w:eastAsia="Times New Roman" w:cs="Times New Roman"/>
          <w:i/>
          <w:iCs/>
          <w:szCs w:val="24"/>
          <w:lang w:eastAsia="es-ES"/>
        </w:rPr>
        <w:t xml:space="preserve">sociedades nacionales no generará ingreso gravado para estas, ni el aporte será considerado enajenación, ni dará lugar </w:t>
      </w:r>
      <w:r w:rsidRPr="00341CED">
        <w:rPr>
          <w:rFonts w:eastAsia="Times New Roman" w:cs="Times New Roman"/>
          <w:i/>
          <w:szCs w:val="24"/>
          <w:lang w:eastAsia="es-ES"/>
        </w:rPr>
        <w:t xml:space="preserve">a </w:t>
      </w:r>
      <w:r w:rsidRPr="00341CED">
        <w:rPr>
          <w:rFonts w:eastAsia="Times New Roman" w:cs="Times New Roman"/>
          <w:i/>
          <w:iCs/>
          <w:szCs w:val="24"/>
          <w:lang w:eastAsia="es-ES"/>
        </w:rPr>
        <w:t xml:space="preserve">ingreso gravado </w:t>
      </w:r>
      <w:r w:rsidRPr="00341CED">
        <w:rPr>
          <w:rFonts w:eastAsia="Times New Roman" w:cs="Times New Roman"/>
          <w:i/>
          <w:szCs w:val="24"/>
          <w:lang w:eastAsia="es-ES"/>
        </w:rPr>
        <w:t xml:space="preserve">o </w:t>
      </w:r>
      <w:r w:rsidRPr="00341CED">
        <w:rPr>
          <w:rFonts w:eastAsia="Times New Roman" w:cs="Times New Roman"/>
          <w:i/>
          <w:iCs/>
          <w:szCs w:val="24"/>
          <w:lang w:eastAsia="es-ES"/>
        </w:rPr>
        <w:t>pérdida deducible para el aportante, siempre que se cumplan las siguientes condiciones:</w:t>
      </w:r>
    </w:p>
    <w:p w:rsidR="00341CED" w:rsidRPr="00341CED" w:rsidRDefault="00341CED" w:rsidP="00341CED">
      <w:pPr>
        <w:spacing w:after="0" w:line="240" w:lineRule="auto"/>
        <w:ind w:left="524"/>
        <w:jc w:val="both"/>
        <w:rPr>
          <w:rFonts w:eastAsia="Times New Roman" w:cs="Times New Roman"/>
          <w:szCs w:val="24"/>
          <w:lang w:eastAsia="es-CO"/>
        </w:rPr>
      </w:pPr>
      <w:r w:rsidRPr="00341CED">
        <w:rPr>
          <w:rFonts w:eastAsia="Times New Roman" w:cs="Times New Roman"/>
          <w:i/>
          <w:iCs/>
          <w:szCs w:val="24"/>
          <w:lang w:eastAsia="es-ES"/>
        </w:rPr>
        <w:t> </w:t>
      </w:r>
    </w:p>
    <w:p w:rsidR="00341CED" w:rsidRPr="00341CED" w:rsidRDefault="00341CED" w:rsidP="00341CED">
      <w:pPr>
        <w:spacing w:after="0" w:line="240" w:lineRule="auto"/>
        <w:ind w:left="524"/>
        <w:jc w:val="both"/>
        <w:rPr>
          <w:rFonts w:eastAsia="Times New Roman" w:cs="Times New Roman"/>
          <w:szCs w:val="24"/>
          <w:lang w:eastAsia="es-CO"/>
        </w:rPr>
      </w:pPr>
      <w:r w:rsidRPr="00341CED">
        <w:rPr>
          <w:rFonts w:eastAsia="Times New Roman" w:cs="Times New Roman"/>
          <w:i/>
          <w:iCs/>
          <w:szCs w:val="24"/>
          <w:lang w:eastAsia="es-ES"/>
        </w:rPr>
        <w:lastRenderedPageBreak/>
        <w:t xml:space="preserve">1. La sociedad receptora del aporte no realizará ingreso </w:t>
      </w:r>
      <w:r w:rsidRPr="00341CED">
        <w:rPr>
          <w:rFonts w:eastAsia="Times New Roman" w:cs="Times New Roman"/>
          <w:i/>
          <w:szCs w:val="24"/>
          <w:lang w:eastAsia="es-ES"/>
        </w:rPr>
        <w:t xml:space="preserve">o </w:t>
      </w:r>
      <w:r w:rsidRPr="00341CED">
        <w:rPr>
          <w:rFonts w:eastAsia="Times New Roman" w:cs="Times New Roman"/>
          <w:i/>
          <w:iCs/>
          <w:szCs w:val="24"/>
          <w:lang w:eastAsia="es-ES"/>
        </w:rPr>
        <w:t xml:space="preserve">pérdida como consecuencia del aporte, cuando </w:t>
      </w:r>
      <w:r w:rsidRPr="00341CED">
        <w:rPr>
          <w:rFonts w:eastAsia="Times New Roman" w:cs="Times New Roman"/>
          <w:i/>
          <w:szCs w:val="24"/>
          <w:lang w:eastAsia="es-ES"/>
        </w:rPr>
        <w:t xml:space="preserve">a </w:t>
      </w:r>
      <w:r w:rsidRPr="00341CED">
        <w:rPr>
          <w:rFonts w:eastAsia="Times New Roman" w:cs="Times New Roman"/>
          <w:i/>
          <w:iCs/>
          <w:szCs w:val="24"/>
          <w:lang w:eastAsia="es-ES"/>
        </w:rPr>
        <w:t xml:space="preserve">cambio del mismo se produzca emisión de acciones </w:t>
      </w:r>
      <w:r w:rsidRPr="00341CED">
        <w:rPr>
          <w:rFonts w:eastAsia="Times New Roman" w:cs="Times New Roman"/>
          <w:i/>
          <w:szCs w:val="24"/>
          <w:lang w:eastAsia="es-ES"/>
        </w:rPr>
        <w:t xml:space="preserve">o </w:t>
      </w:r>
      <w:r w:rsidRPr="00341CED">
        <w:rPr>
          <w:rFonts w:eastAsia="Times New Roman" w:cs="Times New Roman"/>
          <w:i/>
          <w:iCs/>
          <w:szCs w:val="24"/>
          <w:lang w:eastAsia="es-ES"/>
        </w:rPr>
        <w:t xml:space="preserve">cuotas sociales nuevas. En el caso de colocación de acciones </w:t>
      </w:r>
      <w:r w:rsidRPr="00341CED">
        <w:rPr>
          <w:rFonts w:eastAsia="Times New Roman" w:cs="Times New Roman"/>
          <w:i/>
          <w:szCs w:val="24"/>
          <w:lang w:eastAsia="es-ES"/>
        </w:rPr>
        <w:t xml:space="preserve">o </w:t>
      </w:r>
      <w:r w:rsidRPr="00341CED">
        <w:rPr>
          <w:rFonts w:eastAsia="Times New Roman" w:cs="Times New Roman"/>
          <w:i/>
          <w:iCs/>
          <w:szCs w:val="24"/>
          <w:lang w:eastAsia="es-ES"/>
        </w:rPr>
        <w:t xml:space="preserve">cuotas propias readquiridas, el ingreso de la sociedad receptora del aporte </w:t>
      </w:r>
      <w:r w:rsidRPr="00341CED">
        <w:rPr>
          <w:rFonts w:eastAsia="Times New Roman" w:cs="Times New Roman"/>
          <w:i/>
          <w:szCs w:val="24"/>
          <w:lang w:eastAsia="es-ES"/>
        </w:rPr>
        <w:t xml:space="preserve">se </w:t>
      </w:r>
      <w:r w:rsidRPr="00341CED">
        <w:rPr>
          <w:rFonts w:eastAsia="Times New Roman" w:cs="Times New Roman"/>
          <w:i/>
          <w:iCs/>
          <w:szCs w:val="24"/>
          <w:lang w:eastAsia="es-ES"/>
        </w:rPr>
        <w:t xml:space="preserve">determinará de acuerdo con las reglas generales aplicables </w:t>
      </w:r>
      <w:r w:rsidRPr="00341CED">
        <w:rPr>
          <w:rFonts w:eastAsia="Times New Roman" w:cs="Times New Roman"/>
          <w:i/>
          <w:szCs w:val="24"/>
          <w:lang w:eastAsia="es-ES"/>
        </w:rPr>
        <w:t xml:space="preserve">a </w:t>
      </w:r>
      <w:r w:rsidRPr="00341CED">
        <w:rPr>
          <w:rFonts w:eastAsia="Times New Roman" w:cs="Times New Roman"/>
          <w:i/>
          <w:iCs/>
          <w:szCs w:val="24"/>
          <w:lang w:eastAsia="es-ES"/>
        </w:rPr>
        <w:t>la enajenación de activos.</w:t>
      </w:r>
    </w:p>
    <w:p w:rsidR="00341CED" w:rsidRPr="00341CED" w:rsidRDefault="00341CED" w:rsidP="00341CED">
      <w:pPr>
        <w:spacing w:after="0" w:line="240" w:lineRule="auto"/>
        <w:ind w:left="524"/>
        <w:jc w:val="both"/>
        <w:rPr>
          <w:rFonts w:eastAsia="Times New Roman" w:cs="Times New Roman"/>
          <w:szCs w:val="24"/>
          <w:lang w:eastAsia="es-CO"/>
        </w:rPr>
      </w:pPr>
      <w:r w:rsidRPr="00341CED">
        <w:rPr>
          <w:rFonts w:eastAsia="Times New Roman" w:cs="Times New Roman"/>
          <w:i/>
          <w:iCs/>
          <w:szCs w:val="24"/>
          <w:lang w:eastAsia="es-ES"/>
        </w:rPr>
        <w:t xml:space="preserve">2. </w:t>
      </w:r>
      <w:r w:rsidRPr="00341CED">
        <w:rPr>
          <w:rFonts w:eastAsia="Times New Roman" w:cs="Times New Roman"/>
          <w:i/>
          <w:iCs/>
          <w:szCs w:val="24"/>
          <w:u w:val="single"/>
          <w:lang w:eastAsia="es-ES"/>
        </w:rPr>
        <w:t xml:space="preserve">Para la sociedad receptora del aporte, el costo fiscal de los bienes aportados será el mismo que tenía el aportante respecto de tales bienes, de lo cual </w:t>
      </w:r>
      <w:r w:rsidRPr="00341CED">
        <w:rPr>
          <w:rFonts w:eastAsia="Times New Roman" w:cs="Times New Roman"/>
          <w:i/>
          <w:szCs w:val="24"/>
          <w:u w:val="single"/>
          <w:lang w:eastAsia="es-ES"/>
        </w:rPr>
        <w:t xml:space="preserve">se </w:t>
      </w:r>
      <w:r w:rsidRPr="00341CED">
        <w:rPr>
          <w:rFonts w:eastAsia="Times New Roman" w:cs="Times New Roman"/>
          <w:i/>
          <w:iCs/>
          <w:szCs w:val="24"/>
          <w:u w:val="single"/>
          <w:lang w:eastAsia="es-ES"/>
        </w:rPr>
        <w:t>dejará constancia en el documento que contenga el acto jurídico del aporte</w:t>
      </w:r>
      <w:r w:rsidRPr="00341CED">
        <w:rPr>
          <w:rFonts w:eastAsia="Times New Roman" w:cs="Times New Roman"/>
          <w:i/>
          <w:iCs/>
          <w:szCs w:val="24"/>
          <w:lang w:eastAsia="es-ES"/>
        </w:rPr>
        <w:t xml:space="preserve">. Para efectos de depreciación </w:t>
      </w:r>
      <w:r w:rsidRPr="00341CED">
        <w:rPr>
          <w:rFonts w:eastAsia="Times New Roman" w:cs="Times New Roman"/>
          <w:i/>
          <w:szCs w:val="24"/>
          <w:lang w:eastAsia="es-ES"/>
        </w:rPr>
        <w:t xml:space="preserve">o </w:t>
      </w:r>
      <w:r w:rsidRPr="00341CED">
        <w:rPr>
          <w:rFonts w:eastAsia="Times New Roman" w:cs="Times New Roman"/>
          <w:i/>
          <w:iCs/>
          <w:szCs w:val="24"/>
          <w:lang w:eastAsia="es-ES"/>
        </w:rPr>
        <w:t xml:space="preserve">amortización fiscal en cabeza de la sociedad receptora del aporte, no habrá lugar a extensiones </w:t>
      </w:r>
      <w:r w:rsidRPr="00341CED">
        <w:rPr>
          <w:rFonts w:eastAsia="Times New Roman" w:cs="Times New Roman"/>
          <w:i/>
          <w:szCs w:val="24"/>
          <w:lang w:eastAsia="es-ES"/>
        </w:rPr>
        <w:t xml:space="preserve">o </w:t>
      </w:r>
      <w:r w:rsidRPr="00341CED">
        <w:rPr>
          <w:rFonts w:eastAsia="Times New Roman" w:cs="Times New Roman"/>
          <w:i/>
          <w:iCs/>
          <w:szCs w:val="24"/>
          <w:lang w:eastAsia="es-ES"/>
        </w:rPr>
        <w:t xml:space="preserve">reducciones en la vida útil de los bienes aportados, ni </w:t>
      </w:r>
      <w:r w:rsidRPr="00341CED">
        <w:rPr>
          <w:rFonts w:eastAsia="Times New Roman" w:cs="Times New Roman"/>
          <w:i/>
          <w:szCs w:val="24"/>
          <w:lang w:eastAsia="es-ES"/>
        </w:rPr>
        <w:t xml:space="preserve">a </w:t>
      </w:r>
      <w:r w:rsidRPr="00341CED">
        <w:rPr>
          <w:rFonts w:eastAsia="Times New Roman" w:cs="Times New Roman"/>
          <w:i/>
          <w:iCs/>
          <w:szCs w:val="24"/>
          <w:lang w:eastAsia="es-ES"/>
        </w:rPr>
        <w:t xml:space="preserve">modificaciones del costo fiscal base de depreciación </w:t>
      </w:r>
      <w:r w:rsidRPr="00341CED">
        <w:rPr>
          <w:rFonts w:eastAsia="Times New Roman" w:cs="Times New Roman"/>
          <w:i/>
          <w:szCs w:val="24"/>
          <w:lang w:eastAsia="es-ES"/>
        </w:rPr>
        <w:t xml:space="preserve">o </w:t>
      </w:r>
      <w:r w:rsidRPr="00341CED">
        <w:rPr>
          <w:rFonts w:eastAsia="Times New Roman" w:cs="Times New Roman"/>
          <w:i/>
          <w:iCs/>
          <w:szCs w:val="24"/>
          <w:lang w:eastAsia="es-ES"/>
        </w:rPr>
        <w:t>amortización.</w:t>
      </w:r>
    </w:p>
    <w:p w:rsidR="00341CED" w:rsidRPr="00341CED" w:rsidRDefault="00341CED" w:rsidP="00341CED">
      <w:pPr>
        <w:spacing w:after="0" w:line="240" w:lineRule="auto"/>
        <w:ind w:left="524"/>
        <w:jc w:val="both"/>
        <w:rPr>
          <w:rFonts w:eastAsia="Times New Roman" w:cs="Times New Roman"/>
          <w:szCs w:val="24"/>
          <w:lang w:eastAsia="es-CO"/>
        </w:rPr>
      </w:pPr>
      <w:r w:rsidRPr="00341CED">
        <w:rPr>
          <w:rFonts w:eastAsia="Times New Roman" w:cs="Times New Roman"/>
          <w:i/>
          <w:iCs/>
          <w:szCs w:val="24"/>
          <w:lang w:eastAsia="es-ES"/>
        </w:rPr>
        <w:t xml:space="preserve">3. El costo fiscal de las acciones </w:t>
      </w:r>
      <w:r w:rsidRPr="00341CED">
        <w:rPr>
          <w:rFonts w:eastAsia="Times New Roman" w:cs="Times New Roman"/>
          <w:i/>
          <w:szCs w:val="24"/>
          <w:lang w:eastAsia="es-ES"/>
        </w:rPr>
        <w:t xml:space="preserve">o </w:t>
      </w:r>
      <w:r w:rsidRPr="00341CED">
        <w:rPr>
          <w:rFonts w:eastAsia="Times New Roman" w:cs="Times New Roman"/>
          <w:i/>
          <w:iCs/>
          <w:szCs w:val="24"/>
          <w:lang w:eastAsia="es-ES"/>
        </w:rPr>
        <w:t xml:space="preserve">cuotas de participación recibidas por el aportante será el mismo costo fiscal que tenían los bienes aportados </w:t>
      </w:r>
      <w:r w:rsidRPr="00341CED">
        <w:rPr>
          <w:rFonts w:eastAsia="Times New Roman" w:cs="Times New Roman"/>
          <w:i/>
          <w:szCs w:val="24"/>
          <w:lang w:eastAsia="es-ES"/>
        </w:rPr>
        <w:t xml:space="preserve">al </w:t>
      </w:r>
      <w:r w:rsidRPr="00341CED">
        <w:rPr>
          <w:rFonts w:eastAsia="Times New Roman" w:cs="Times New Roman"/>
          <w:i/>
          <w:iCs/>
          <w:szCs w:val="24"/>
          <w:lang w:eastAsia="es-ES"/>
        </w:rPr>
        <w:t>momento del aporte en cabeza del aportante.</w:t>
      </w:r>
    </w:p>
    <w:p w:rsidR="00341CED" w:rsidRPr="00341CED" w:rsidRDefault="00341CED" w:rsidP="00341CED">
      <w:pPr>
        <w:spacing w:after="0" w:line="240" w:lineRule="auto"/>
        <w:ind w:left="524"/>
        <w:jc w:val="both"/>
        <w:rPr>
          <w:rFonts w:eastAsia="Times New Roman" w:cs="Times New Roman"/>
          <w:szCs w:val="24"/>
          <w:lang w:eastAsia="es-CO"/>
        </w:rPr>
      </w:pPr>
      <w:r w:rsidRPr="00341CED">
        <w:rPr>
          <w:rFonts w:eastAsia="Times New Roman" w:cs="Times New Roman"/>
          <w:i/>
          <w:iCs/>
          <w:szCs w:val="24"/>
          <w:lang w:eastAsia="es-ES"/>
        </w:rPr>
        <w:t xml:space="preserve">4. Los bienes aportados conservarán para efectos fiscales en la sociedad receptora, la misma naturaleza de activos fijos </w:t>
      </w:r>
      <w:r w:rsidRPr="00341CED">
        <w:rPr>
          <w:rFonts w:eastAsia="Times New Roman" w:cs="Times New Roman"/>
          <w:i/>
          <w:szCs w:val="24"/>
          <w:lang w:eastAsia="es-ES"/>
        </w:rPr>
        <w:t xml:space="preserve">o </w:t>
      </w:r>
      <w:r w:rsidRPr="00341CED">
        <w:rPr>
          <w:rFonts w:eastAsia="Times New Roman" w:cs="Times New Roman"/>
          <w:i/>
          <w:iCs/>
          <w:szCs w:val="24"/>
          <w:lang w:eastAsia="es-ES"/>
        </w:rPr>
        <w:t xml:space="preserve">movibles que tengan para el aportante </w:t>
      </w:r>
      <w:r w:rsidRPr="00341CED">
        <w:rPr>
          <w:rFonts w:eastAsia="Times New Roman" w:cs="Times New Roman"/>
          <w:i/>
          <w:szCs w:val="24"/>
          <w:lang w:eastAsia="es-ES"/>
        </w:rPr>
        <w:t xml:space="preserve">en </w:t>
      </w:r>
      <w:r w:rsidRPr="00341CED">
        <w:rPr>
          <w:rFonts w:eastAsia="Times New Roman" w:cs="Times New Roman"/>
          <w:i/>
          <w:iCs/>
          <w:szCs w:val="24"/>
          <w:lang w:eastAsia="es-ES"/>
        </w:rPr>
        <w:t>el momento del aporte.</w:t>
      </w:r>
    </w:p>
    <w:p w:rsidR="00341CED" w:rsidRPr="00341CED" w:rsidRDefault="00341CED" w:rsidP="00341CED">
      <w:pPr>
        <w:spacing w:after="0" w:line="240" w:lineRule="auto"/>
        <w:ind w:left="524"/>
        <w:jc w:val="both"/>
        <w:rPr>
          <w:rFonts w:eastAsia="Times New Roman" w:cs="Times New Roman"/>
          <w:szCs w:val="24"/>
          <w:lang w:eastAsia="es-CO"/>
        </w:rPr>
      </w:pPr>
      <w:r w:rsidRPr="00341CED">
        <w:rPr>
          <w:rFonts w:eastAsia="Times New Roman" w:cs="Times New Roman"/>
          <w:i/>
          <w:iCs/>
          <w:szCs w:val="24"/>
          <w:lang w:eastAsia="es-ES"/>
        </w:rPr>
        <w:t xml:space="preserve">5. </w:t>
      </w:r>
      <w:r w:rsidRPr="00341CED">
        <w:rPr>
          <w:rFonts w:eastAsia="Times New Roman" w:cs="Times New Roman"/>
          <w:i/>
          <w:iCs/>
          <w:szCs w:val="24"/>
          <w:u w:val="single"/>
          <w:lang w:eastAsia="es-ES"/>
        </w:rPr>
        <w:t xml:space="preserve">En el documento que contenga el acto jurídico del aporte, el aportante y la sociedad receptora declararán expresamente sujetarse </w:t>
      </w:r>
      <w:r w:rsidRPr="00341CED">
        <w:rPr>
          <w:rFonts w:eastAsia="Times New Roman" w:cs="Times New Roman"/>
          <w:i/>
          <w:szCs w:val="24"/>
          <w:u w:val="single"/>
          <w:lang w:eastAsia="es-ES"/>
        </w:rPr>
        <w:t xml:space="preserve">a </w:t>
      </w:r>
      <w:r w:rsidRPr="00341CED">
        <w:rPr>
          <w:rFonts w:eastAsia="Times New Roman" w:cs="Times New Roman"/>
          <w:i/>
          <w:iCs/>
          <w:szCs w:val="24"/>
          <w:u w:val="single"/>
          <w:lang w:eastAsia="es-ES"/>
        </w:rPr>
        <w:t>las disposiciones del presente artículo</w:t>
      </w:r>
      <w:r w:rsidRPr="00341CED">
        <w:rPr>
          <w:rFonts w:eastAsia="Times New Roman" w:cs="Times New Roman"/>
          <w:i/>
          <w:szCs w:val="24"/>
          <w:lang w:eastAsia="es-ES"/>
        </w:rPr>
        <w:t xml:space="preserve"> y la </w:t>
      </w:r>
      <w:r w:rsidRPr="00341CED">
        <w:rPr>
          <w:rFonts w:eastAsia="Times New Roman" w:cs="Times New Roman"/>
          <w:i/>
          <w:iCs/>
          <w:szCs w:val="24"/>
          <w:lang w:eastAsia="es-ES"/>
        </w:rPr>
        <w:t xml:space="preserve">Administración Tributaria podrá solicitar de cada uno de ellos el cumplimiento de </w:t>
      </w:r>
      <w:r w:rsidRPr="00341CED">
        <w:rPr>
          <w:rFonts w:eastAsia="Times New Roman" w:cs="Times New Roman"/>
          <w:i/>
          <w:szCs w:val="24"/>
          <w:lang w:eastAsia="es-ES"/>
        </w:rPr>
        <w:t xml:space="preserve">las </w:t>
      </w:r>
      <w:r w:rsidRPr="00341CED">
        <w:rPr>
          <w:rFonts w:eastAsia="Times New Roman" w:cs="Times New Roman"/>
          <w:i/>
          <w:iCs/>
          <w:szCs w:val="24"/>
          <w:lang w:eastAsia="es-ES"/>
        </w:rPr>
        <w:t>condiciones aquí establecidas según le apliquen.</w:t>
      </w:r>
    </w:p>
    <w:p w:rsidR="00341CED" w:rsidRPr="00341CED" w:rsidRDefault="00341CED" w:rsidP="00341CED">
      <w:pPr>
        <w:spacing w:after="0" w:line="240" w:lineRule="auto"/>
        <w:ind w:left="524"/>
        <w:jc w:val="both"/>
        <w:rPr>
          <w:rFonts w:eastAsia="Times New Roman" w:cs="Times New Roman"/>
          <w:szCs w:val="24"/>
          <w:lang w:eastAsia="es-CO"/>
        </w:rPr>
      </w:pPr>
      <w:r w:rsidRPr="00341CED">
        <w:rPr>
          <w:rFonts w:eastAsia="Times New Roman" w:cs="Times New Roman"/>
          <w:i/>
          <w:szCs w:val="24"/>
          <w:lang w:eastAsia="es-ES"/>
        </w:rPr>
        <w:t>(..</w:t>
      </w:r>
      <w:r w:rsidRPr="00341CED">
        <w:rPr>
          <w:rFonts w:eastAsia="Times New Roman" w:cs="Times New Roman"/>
          <w:i/>
          <w:iCs/>
          <w:szCs w:val="24"/>
          <w:lang w:eastAsia="es-ES"/>
        </w:rPr>
        <w:t xml:space="preserve">.)". </w:t>
      </w:r>
      <w:r w:rsidRPr="00341CED">
        <w:rPr>
          <w:rFonts w:eastAsia="Times New Roman" w:cs="Times New Roman"/>
          <w:szCs w:val="24"/>
          <w:lang w:eastAsia="es-ES"/>
        </w:rPr>
        <w:t>(Subrayado</w:t>
      </w:r>
      <w:r w:rsidRPr="00341CED">
        <w:rPr>
          <w:rFonts w:eastAsia="Times New Roman" w:cs="Times New Roman"/>
          <w:iCs/>
          <w:szCs w:val="24"/>
          <w:lang w:eastAsia="es-ES"/>
        </w:rPr>
        <w:t xml:space="preserve"> fuera de texto).</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Lo primero que aclaramos con relación al documento que contendrá el acto jurídico del aporte es que hasta tanto el Gobierno Nacional no reglamente de manera particular dicho aspecto, es necesario remitirse a las normas de derecho comercial y civil que regulan los aportes a sociedades y la tradición de los bienes inmuebles. Esta conclusión que ya había sido expuesta a través del Concepto 056135 del 5 de septiembre de 2013, el cual se envía para su conocimiento por ser doctrina vigente sobre el tema.</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Es importante señalar que de la redacción de la norma, no se establece una tarifa legal de pruebas a fin de soportar la operación y en consecuencia, la neutralidad del aporte a que se refiere el artículo 319 del Estatuto Tributario citado.</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Por lo anterior este Despacho reitera que tanto en la creación de sociedades como en la decisión de aumento de capital, que implique aportar recursos por parte de los socios o accionistas y con ello la emisión de acciones, cuotas o partes de interés, deberá observarse, además de la norma anteriormente citada, las reglas aplicables contenidas en la legislación mercantil y civil.</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De manera especial recuerde que cualquiera que sea su objeto, las sociedades comerciales y civiles están sujetas, para todos los efectos, a la legislación mercantil, según lo dispone el inciso segundo del artículo 100 del Código de Comercio).</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En ese sentido se destaca la regulación contenida en el Capítulo III del Código de Comercio sobre aportes en especie, el cual distingue dos momentos a saber: cuando el aporte se hace al momento de la constitución de la sociedad y cuando esto ocurre de manera posterior.</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En el primer evento, en su artículo 126 preceptúa que estos deberán estimarse en un valor determinado, avaluados unánimemente por los interesados constituidos en junta preliminar y en algunos casos sujeto a aprobación por la Superintendencia de Sociedades en ciertos casos (artículo 132 ibídem y 85 de la Ley 222 de 1995) y su entrega deberá realizarse en el lugar, forma y época convenidos, y a falta de estipulación, la entrega de bienes muebles se hará en el domicilio social, tan pronto como la sociedad esté debidamente constituida (artículo 124 ibídem).</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lastRenderedPageBreak/>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Cuando el aporte se hace de manera posterior a la constitución de la sociedad, señala el artículo 132 del Código de Comercio que su valor será fijado en asamblea o en junta de socios con el voto favorable del sesenta por ciento o más de las acciones, cuotas o partes de interés social, previa deducción de las que correspondan a los aportantes, quienes no podrán votar en dicho acto</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En relación a las formalidades que pueda revestir el documento que contenga el acto jurídico del aporte y hecha la precisión que se deberán observar las reglas aplicables contenidas en la legislación mercantil y civil, por vía de ejemplo traemos el caso de un aporte en especie a una sociedad por acciones simplificada al momento de su constitución.</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Recordemos que esta sociedad puede constituirse por escritura pública o por documento privado, en cualquiera de estos casos debe inscribirse en el Registro Mercantil de la Cámara de Comercio del lugar en que la sociedad establezca su domicilio principal. El parágrafo segundo del artículo 5 de la Ley 1258 de 2008, establece que cuando los activos aportados a la sociedad comprendan bienes cuya transferencia requiera de escritura pública, la constitución de la sociedad deberá hacerse de igual manera e inscribirse también en los registros correspondientes.</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Así las cosas, en este caso documento del acto jurídico del aporte sería la escritura pública, donde debe manifestarse expresamente que se sujeta a las disposiciones del artículo 319 del Estatuto Tributario.</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Por último, no sobra recordar que la norma en comento no permite la extensión o reducción en la vida útil de los bienes aportados, ni a modificaciones del costo fiscal base de depreciación o amortización.</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Atentamente,</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 </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b/>
          <w:szCs w:val="24"/>
          <w:lang w:eastAsia="es-ES"/>
        </w:rPr>
        <w:t>LEONOR EUGENIA RUIZ DE VILLALOBOS</w:t>
      </w:r>
    </w:p>
    <w:p w:rsidR="00341CED" w:rsidRPr="00341CED" w:rsidRDefault="00341CED" w:rsidP="00341CED">
      <w:pPr>
        <w:spacing w:after="0" w:line="240" w:lineRule="auto"/>
        <w:jc w:val="both"/>
        <w:rPr>
          <w:rFonts w:eastAsia="Times New Roman" w:cs="Times New Roman"/>
          <w:szCs w:val="24"/>
          <w:lang w:eastAsia="es-CO"/>
        </w:rPr>
      </w:pPr>
      <w:r w:rsidRPr="00341CED">
        <w:rPr>
          <w:rFonts w:eastAsia="Times New Roman" w:cs="Times New Roman"/>
          <w:szCs w:val="24"/>
          <w:lang w:eastAsia="es-ES"/>
        </w:rPr>
        <w:t>Subdirectora de Gestión Normativa y Doctrina</w:t>
      </w:r>
    </w:p>
    <w:p w:rsidR="00341CED" w:rsidRPr="00341CED" w:rsidRDefault="00341CED" w:rsidP="00341CED">
      <w:pPr>
        <w:spacing w:after="285" w:line="240" w:lineRule="auto"/>
        <w:rPr>
          <w:rFonts w:eastAsia="Times New Roman" w:cs="Times New Roman"/>
          <w:szCs w:val="24"/>
          <w:lang w:eastAsia="es-CO"/>
        </w:rPr>
      </w:pPr>
      <w:r w:rsidRPr="00341CED">
        <w:rPr>
          <w:rFonts w:eastAsia="Times New Roman" w:cs="Times New Roman"/>
          <w:szCs w:val="24"/>
          <w:lang w:eastAsia="es-CO"/>
        </w:rPr>
        <w:t> </w:t>
      </w:r>
    </w:p>
    <w:p w:rsidR="00961BFA" w:rsidRPr="00341CED" w:rsidRDefault="00961BFA">
      <w:pPr>
        <w:rPr>
          <w:rFonts w:cs="Times New Roman"/>
        </w:rPr>
      </w:pPr>
    </w:p>
    <w:sectPr w:rsidR="00961BFA" w:rsidRPr="00341CE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ED"/>
    <w:rsid w:val="0029351E"/>
    <w:rsid w:val="00341CED"/>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ADA2E-F0C1-4871-B10A-F99ADE6C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267075">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2016-07-01T02:20:00Z</dcterms:created>
  <dcterms:modified xsi:type="dcterms:W3CDTF">2016-07-01T02:28:00Z</dcterms:modified>
</cp:coreProperties>
</file>